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5 vom 18. März 2022</w:t>
      </w:r>
    </w:p>
    <w:p>
      <w:r>
        <w:t>VS Kantonsgericht, 2022-03-18, FR</w:t>
      </w:r>
    </w:p>
    <w:p>
      <w:r>
        <w:rPr>
          <w:b/>
        </w:rPr>
        <w:t xml:space="preserve">Quelle: </w:t>
      </w:r>
      <w:r>
        <w:t>https://mcp.opencaselaw.ch/entscheid/vs_gerichte_P1 20 5</w:t>
      </w:r>
    </w:p>
    <w:p>
      <w:r>
        <w:t>FR: VS_GERICHTE P1 20 5 du 18 mars 2022</w:t>
      </w:r>
    </w:p>
    <w:p>
      <w:r>
        <w:t>IT: VS_GERICHTE P1 20 5 del 18 marzo 2022</w:t>
      </w:r>
    </w:p>
    <w:p>
      <w:pPr>
        <w:pStyle w:val="Heading2"/>
      </w:pPr>
      <w:r>
        <w:t>Erwägungen</w:t>
      </w:r>
    </w:p>
    <w:p>
      <w:r>
        <w:rPr>
          <w:b/>
        </w:rPr>
        <w:t>E. 5</w:t>
      </w:r>
    </w:p>
    <w:p>
      <w:r>
        <w:t>A titre préalable, compte tenu de l’ancienneté des faits et des modifications législatives qui ont eu lieu depuis, il y a lieu d’examiner la question de la loi pénale applicable au cas d’espèce. L'article 2 CP délimite le champ d'application de la loi pénale dans le temps. Son alinéa 1 pose le principe de la non-rétroactivité, en disposant que ladite loi ne s'applique qu'aux infractions commises après son entrée en vigueur. Son alinéa 2 fait</w:t>
      </w:r>
    </w:p>
    <w:p>
      <w:r>
        <w:t>- 9 - exception à ce principe pour le cas où l'auteur est mis en jugement sous l'empire d'une loi nouvelle ; en pareil cas, cette dernière s'applique si elle lui est plus favorable que celle qui était en vigueur au moment de la commission de l'infraction.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Toutes les règles applicables doivent cependant être prises en compte, notamment celles relatives à la prescription et, le cas échéant, au droit de porter plainte (ATF 135 IV 113 consid. 2.1-2.2 et les références citées). En l’occurrence, le nouveau droit des sanctions n’a affecté ni les conditions légales de l’infraction d’homicide par négligence, ni celles de la poursuite de celle-ci. La comparaison ne doit dès lors porter que sur la sanction qui y est attachée. Que ce soit en vertu du droit antérieur au 1er janvier 2018 ou de celui actuellement en vigueur, l’homicide par négligence au sens de l’article 117 CP est toujours passible d’une peine privative de liberté de trois ans au plus ou d’une peine pécuniaire. Pour ce qui est de cette dernière, le nombre maximum de jours-amende est désormais plafonné à 180 jours (art. 34 al. 1 nCP) au lieu de 360 jours sous l’ancien droit (art. 34 al. 1 aCP). Le nouveau droit des sanctions a également supprimé le travail d’intérêt général (art. 37 CP), ce qui correspond à un durcissement. Les conditions d’octroi du sursis partiel à une peine privative de liberté comprise entre un an au moins et trois ans au plus (art. 43 CP) n’ont, quant à elles, pas connu de modifications ; en revanche, le nouveau droit a supprimé la possibilité du sursis partiel pour les peines pécuniaires (art. 43 al. 1 aCP ; art. 43 al. 1 nCP).</w:t>
      </w:r>
    </w:p>
    <w:p>
      <w:r>
        <w:t>Le prévenu se voit reprocher une infraction à l’article 117 CP. En l’absence de condamnation antérieure et au vu des dernières conclusions du Ministère public visant à sa condamnation à une peine pécuniaire de 90 jours-amende avec sursis durant deux ans, rien ne s’oppose – s’il est reconnu coupable – à ce que la sanction à prononcer à son encontre prenne la forme d’une peine pécuniaire ne dépassant pas 180 jours, assortie du sursis complet à son exécution. Au terme de cette comparaison, le nouveau droit des sanctions en vigueur depuis le 1er janvier 2018 ne s’avère pas plus clément que l’ancien, de sorte que c’est bien l’ancien droit qui est applicable.</w:t>
      </w:r>
    </w:p>
    <w:p>
      <w:r>
        <w:t>- 10 -</w:t>
      </w:r>
    </w:p>
    <w:p>
      <w:r>
        <w:rPr>
          <w:b/>
        </w:rPr>
        <w:t>E. 6</w:t>
      </w:r>
    </w:p>
    <w:p>
      <w:r>
        <w:t>Les appelants et l’appelant par voie de jonction invoquent une violation de l’article 117 CP, faisant valoir, que le devoir de prudence commandait au prévenu de s’adjoindre d’un tiers pour la gestion de la sécurité des travaux, de même que de renvoyer le défunt du chantier au vu de son comportement qu’il avait pu constater quelques heures avant l’accident déjà, subsidiairement de rester sur les lieux jusqu’à ce que la fouille soit étayée. 6.1.1 Aux termes de l’article 117 CP, celui qui, par négligence, aura causé la mort d'une personne sera puni d'une peine privative de liberté de trois ans au plus ou d'une peine pécuniaire. Une condamnation pour homicide par négligence au sens de l'article 117 CP implique la réalisation de trois éléments constitutifs, à savoir le décès d'une personne, une négligence, ainsi qu'un rapport de causalité naturelle et adéquate entre les deux premiers éléments (ATF 122 IV 145 consid. 3). 6.1.2 Selon l'article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la violation du devoir de prudence doit être fautive, c'est-à-dire qu'il faut pouvoir reprocher à l'auteur une inattention ou un manque d'effort blâmable (ATF 145 IV 154 consid. 2.1). L’infraction d’homicide par négligence suppose en général un comportement actif. Elle peut également être commise par un comportement passif contraire à une obligation</w:t>
      </w:r>
    </w:p>
    <w:p>
      <w:r>
        <w:t>- 11 - d'agir (art. 11 al. 1 CP). Reste passif en violation d'une obligation d'agir celui qui n'empêche pas la mise en danger ou la lésion d'un bien juridique protégé par la loi pénale bien qu'il y soit tenu à raison de sa situation juridique. L'article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 ATF 141 IV 249 consid. 1.1). 6.1.3 Une condamnation pour homicide par négligence suppose ensuite un lien de causalité naturelle et adéquate entre le décès et la négligence imputée à l'auteur (ATF 122 IV 145 consid. 3).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 117 IV 130 consid. 2a). L'existence de cette causalité dite hypothétique suppose une très grande vraisemblance ; autrement dit, elle n'est réalisée que lorsque l'acte attendu ne peut pas être inséré intellectuellement dans le raisonnement sans en exclure, très vraisemblablement, le résultat (ATF 135 IV 56 consid. 2.1 ; 130 IV 7 consid. 3.2 ; encore récemment : arrêt 6B_364/2020 du 26 juin 2020 consid. 6.1). La causalité adéquate est ainsi exclue lorsque l'acte attendu n'aurait vraisemblablement pas empêché la survenance du résultat ou lorsqu'il serait simplement possible qu'il l'eût empêché (arrêt 6B_364/2020 précité consid. 6.1 et les arrêts cités).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w:t>
      </w:r>
    </w:p>
    <w:p>
      <w:r>
        <w:t>- 12 - celui-ci, notamment le comportement de l'auteur (ATF 135 IV 56 consid. 2.1 ; 134 IV 255 consid. 4.4.2 ; 133 IV 158 consid. 6.1 et les références citées). 6.1.4 Le devoir de diligence de l’employeur, de même que sa position de garant concernant la protection de la vie, de l’intégrité physique et de la santé des employés, découlent en particulier des articles 328 al. 2 CO et 82 al. 1 LAA (Loi fédérale sur l’assurance-accidents du 20 mars 1981 ; RS 832.20). Selon ces dispositions, l’employeur est tenu de prendre, pour prévenir les accidents et maladies professionnels, toutes les mesures dont l’expérience a démontré la nécessité, que l’état de la technique permet d’appliquer et qui sont adaptées aux conditions données (voir aussi art. 3 de l’Ordonnance sur la prévention des accidents du 19 décembre 1983 [OPA] ; RS 832.30). L’article 11 OPA prévoit que le travailleur est tenu de suivre les directives de l’employeur en matière de sécurité au travail et d’observer les règles de sécurité généralement reconnues ; il doit en particulier utiliser les équipements de protection individuelle et s’abstenir de porter atteinte à l’efficacité des installations de protection (al. 1). Lorsqu’un travailleur constate des défauts qui compromettent la sécurité au travail, il doit immédiatement les éliminer ; s’il n’est pas en mesure de le faire ou s’il n’y est pas autorisé, il doit aviser l’employeur sans délai (al. 2). Le travailleur ne doit pas se mettre dans un état tel qu’il expose sa personne ou celle d’autres travailleurs à un danger (al. 3 1ère phr.).</w:t>
      </w:r>
    </w:p>
    <w:p>
      <w:r>
        <w:t>Selon l’article 3 OTConst (Ordonnance sur la sécurité et la protection de la santé des travailleurs dans les travaux de construction du 29 juin 2005 ; RS 832.311.141), les travaux de construction doivent être planifiés de façon que le risque d’accident professionnel, de maladie professionnelle ou d’atteinte à la santé soit aussi faible que possible et que les mesures de sécurité nécessaires puissent être respectées, en particulier lors de l’utilisation d’équipements de travail (al. 1). L’employeur qui, dans le cadre d’un contrat d’entreprise, veut s’engager en qualité d’entrepreneur à exécuter des travaux de construction, doit examiner avant la conclusion du contrat quelles mesures sont nécessaires pour assurer la sécurité au travail et la protection de la santé lors de l’exécution de ses travaux (al. 2). L’employeur qui exécute des travaux de construction doit veiller à ce que matériel, installations et appareils adéquats soient disponibles à temps et en quantité suffisante. Ils doivent être en parfait état de fonctionnement et satisfaire aux exigences de la sécurité au travail et de la protection de la santé (al. 5). A teneur de l'art. 5 OTConst, l'employeur doit désigner sur chaque chantier une personne compétente chargée de la sécurité au travail et de la protection de la santé ; cette</w:t>
      </w:r>
    </w:p>
    <w:p>
      <w:r>
        <w:t>- 13 - personne peut donner des directives en la matière aux travailleurs (al. 1). Toute personne qui, par son comportement ou son état, s’expose à un danger ou met en danger d’autres personnes doit être renvoyée du chantier (al. 2). Selon l’article 55 OTConst, les fouilles, les puits et les terrassements doivent être aménagés de manière que la chute ou l’éboulement de matériaux ne mette personne en danger (al. 1). Les fouilles, les puits et les terrassements de plus de 1 m 50 de profondeur qui ne sont pas étayés doivent être talutés conformément à l’article 56 OTConst ou assurés par d’autres mesures adéquates (al. 2). Les bords de la fouille doivent être libres sur au moins 50 cm de largeur lorsqu’elle est étayée ou sur au moins 1,0 m lorsqu’il y a un talus (art. 55 al. 5 OTConst).</w:t>
      </w:r>
    </w:p>
    <w:p>
      <w:r>
        <w:rPr>
          <w:b/>
        </w:rPr>
        <w:t>E. 6.2.1</w:t>
      </w:r>
    </w:p>
    <w:p>
      <w:r>
        <w:t>En l’espèce, il est établi et incontesté que l’appelé, directeur de la société en charge des travaux et chargé de la sécurité sur le chantier, avait la responsabilité du suivi de celui-ci et de l’application des normes de sécurité. Sa position de garant l’obligeait à protéger ses employés sur le chantier et à empêcher la réalisation des risques liés aux travaux de construction.</w:t>
      </w:r>
    </w:p>
    <w:p>
      <w:r>
        <w:rPr>
          <w:b/>
        </w:rPr>
        <w:t>E. 6.2.2</w:t>
      </w:r>
    </w:p>
    <w:p>
      <w:r>
        <w:t>La question qui se pose est de savoir si, compte tenu des circonstances, un entrepreneur raisonnable placé dans la même situation que l’appelé et avec les mêmes aptitudes aurait pu prévoir le déroulement des évènements et, le cas échéant, quelles mesures il aurait dû prendre pour éviter l’accident qui s’est produit. Le procureur et les parties plaignantes sont d’avis que l’accident était prévisible pour l’appelé car il venait de constater que ses ouvriers n’avaient pas respecté ses ordres et que, fort de ce constat, il aurait dû soit rester sur place pour surveiller personnellement le chantier, soit renvoyer A _________ chez lui. Interrogé à ce sujet, l’expert F _________, spécialiste de la sécurité auprès de la SUVA, s’est borné à énoncer que la réponse dépend du type de travaux, du personnel, de l’encadrement, des facteurs propres à l’entreprise, à la relation patron-employé, à la formation reçue par les collaborateurs, à l’expérience, aux conditions spécifiques du chantier. Bien qu’il ait connaissance de toutes les circonstances particulières de la situation, il n’a pas répondu, voire a admis être incapable de dire si, en l’espèce, l’appelé aurait dû rester sur le chantier ou renvoyer son ouvrier (rapport SUVA du 28 août 2018, réponses 15 et 16).</w:t>
      </w:r>
    </w:p>
    <w:p>
      <w:r>
        <w:t>- 14 - Il s’agissait d’un chantier aux proportions modestes. Le travail consistant à creuser une fouille pour raccorder aux égouts une villa en construction avait été confié à deux ouvriers très expérimentés et qualifiés. Tous deux connaissaient les règles de sécurité applicables pour les travaux de fouille, ils suivaient régulièrement les cours de sécurité proposés par l’entreprise et le matériel utilisé était adéquat. A _________ travaillait pour l’entreprise depuis une dizaine d’années, était systématiquement chargé des fouilles et respectait toujours les instructions de son patron qui lui faisait entièrement confiance. Le jour du chantier, l’appelé s’est entretenu à quatre reprises avec A _________ : la première fois, vers 6h30, la seconde fois à 10h45 lorsqu’il a ordonné l’arrêt du chantier et l’étayage de fouille et leur a interdit d’y accéder avant qu’elle soit sécurisée, une troisième fois par téléphone à 11h15 pour rappeler les ordres et enfin, une quatrième fois, à 14 heures. C’est à ce moment qu’il a constaté qu’une partie de ses instructions n’avaient pas été exécutées en ce sens que A _________ était descendu dans la fouille alors qu’elle n’était pas encore étayée. L’étayage n’avait pas débuté car A _________, au lieu d’aller chercher lui-même le matériel, avait délégué cette tâche à un collègue dont ils attendaient l’arrivée. Dans ces circonstances, l’appelé ne pouvait pas légitimement s’attendre à ce que A _________ désobéisse à nouveau à ses ordres en s’aventurant dans un endroit non sécurisé, ce alors même que les ouvriers présents avaient commencé à exécuter ses instructions lorsqu’il a quitté les lieux. Au vu de l’expérience de A _________ qui avait plus de 200 fouilles à son actif et connaissait les règles de sécurité, de la relation de confiance qui le liait à l’appelé, de la taille du chantier et du fait que l’appelé s’y est déplacé par trois fois en donnant des instructions claires et conformes aux règles de sécurité, il ne peut être retenu que l’appelé a été négligent. Si les réponses de l’expert en sécurité semblent trahir un certain embarras, il n’a en tous les cas pas indiqué que l’usage professionnel ou l’application concrète des prescriptions légales commandait que l’appelé reste impérativement sur le chantier pour le surveiller, délègue cette tâche à un tiers, voire renvoie son ouvrier, même après avoir constaté que A _________ était descendu dans la fouille et que les travaux d’étayage avaient pris du retard. Pour rappel, les deux autres ouvriers présents n’ont pas pu expliquer la raison pour laquelle A _________ s’est avancé dans la fouille aussi loin de la rampe, ce qui démontre qu’il s’agissait d’un comportement particulièrement insolite. Comme l’a souligné le Tribunal fédéral, le devoir de surveillance d’un employeur ne comprend pas, d’une façon générale, l’obligation de faire accompagner en</w:t>
      </w:r>
    </w:p>
    <w:p>
      <w:r>
        <w:t>- 15 - permanence chaque ouvrier spécialisé par une personne compétente chargée de la surveiller et l’employeur ne peut être pas être tenu pour responsable à chaque fois qu’un ouvrier spécialisé ne respecte pas les mesures de précaution relevant de l’exercice de son activité (ATF 117 IV 130 consid. 2d). S’agissant de l’état de stress de A _________ le jour des faits, il y a lieu de relever que nul n’a indiqué qu’il était descendu dans la fouille pour ce motif ou qu’il était alors déconcentré par son état, ce qui n’est en outre pas invoqué par les appelants ou par l’appelant par voie de jonction. Enfin, il ne peut être retenu que les employés faisaient face à une situation extraordinaire au vu de la profondeur inhabituelle de la fouille, puisqu’il a été établi qu’ils étaient suffisamment expérimentés et formés et que l’appelé leur a rappelé les normes de sécurité à plusieurs reprises le jour des faits. Compte tenu des circonstances, l’appelé a bel et bien déployé l'attention et les efforts que l'on pouvait attendre de lui, une négligence fautive ne pouvant être retenue. L’acquittement prononcé en première instance doit dès lors être confirmé.</w:t>
      </w:r>
    </w:p>
    <w:p>
      <w:r>
        <w:rPr>
          <w:b/>
        </w:rPr>
        <w:t>E. 7</w:t>
      </w:r>
    </w:p>
    <w:p>
      <w:r>
        <w:t>L’article 126 al. 1 let. b CPP prévoit que le tribunal statue sur les conclusions civiles présentées lorsqu’il acquitte le prévenu et que l’état de fait est suffisamment établi. Ainsi que l'indique l'article 122 al. 1 CPP, les prétentions civiles que peut faire valoir la partie plaignante sont exclusivement celles qui sont déduites de l'infraction. Cela signifie qu’elles doivent découler d'une ou de plusieurs infractions qui, dans un premier temps, sont l'objet des investigations menées dans la procédure préliminaire, puis, dans un second temps, figurent dans l'acte d'accusation élaboré par le Ministère public, en application de l'article 325 CPP.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 6B_11/2017 du 29 août 2017 consid. 1.2 et les références citées).</w:t>
      </w:r>
    </w:p>
    <w:p>
      <w:r>
        <w:t>En l’espèce, le prévenu appelé est libéré du chef d’accusation d’homicide par négligence au motif que les éléments constitutifs objectifs et subjectifs de l’infraction ne sont pas réalisés. Dans ces circonstances, les conclusions civiles des plaignants doivent être rejetées.</w:t>
      </w:r>
    </w:p>
    <w:p>
      <w:r>
        <w:rPr>
          <w:b/>
        </w:rPr>
        <w:t>E. 8.1</w:t>
      </w:r>
    </w:p>
    <w:p>
      <w:r>
        <w:t>Le sort des frais de procédure à l’issue de celle-ci est régi par les articles 422 ss CPP, étant précisé que si l’autorité d’appel rend elle-même</w:t>
      </w:r>
    </w:p>
    <w:p>
      <w:r>
        <w:t>- 16 - une décision, elle se prononce également sur les frais fixés par l’autorité inférieure (art. 428 al. 3 CPP). La répartition des frais de procédure de première instance repose sur le principe selon lequel celui qui a causé les frais doit les supporter (ATF 138 IV 248 consid. 4.4.1). Lorsque la procédure fait l’objet d’une ordonnance de classement ou que le prévenu est acquitté, tout ou partie des frais de la procédure peuvent être mis à sa charge s’il a, de manière illicite et fautive, provoqué l’ouverture de la procédure ou rendu plus difficile sa conduite (art. 426 al. 2 CPP), étant précisé que la mise des frais à la charge du prévenu en cas d'acquittement ou de classement de la procédure doit rester l'exception (ATF 144 IV 202 consid. 2.2 et les références citées). En l’occurrence, il n’y a pas lieu de rediscuter la quotité – non contestée – des frais d’instruction (8'238 fr. 95) et du tribunal de district (800 fr.). Il ne ressort pas des actes de la cause que l’appelé aurait adopté un quelconque comportement de nature à provoquer l’ouverture de la procédure à son encontre et à justifier l’ouverture d’une instruction contre lui. Il ne peut dès lors être astreint à supporter tout ou partie des frais de procédure, lesquels doivent être mis à la charge de l’Etat (fisc).</w:t>
      </w:r>
    </w:p>
    <w:p>
      <w:r>
        <w:rPr>
          <w:b/>
        </w:rPr>
        <w:t>E. 9</w:t>
      </w:r>
    </w:p>
    <w:p>
      <w:r>
        <w:t>Le sort des frais de la procédure d'appel est réglé à l'article 428 al. 1 CPP, lequel prévoit leur prise en charge par les parties dans la mesure où elles ont obtenu gain de cause ou succombé. L'émolument est compris entre 380 fr. et 6000 francs (art. 22 let. f LTar). En l’espèce, la cause présentait un degré de difficulté usuel. Eu égard, en outre, aux principes de l'équivalence des prestations et de la couverture des frais, les frais de justice sont fixés à 800 fr., débours compris, lesquels, compte tenu de l’issue de la présente procédure, sont mis à la charge des appelants à raison de la moitié, soit 400 fr., le solde étant mis à la charge de l’Etat (fisc).</w:t>
      </w:r>
    </w:p>
    <w:p>
      <w:r>
        <w:rPr>
          <w:b/>
        </w:rPr>
        <w:t>E. 10</w:t>
      </w:r>
    </w:p>
    <w:p>
      <w:r>
        <w:t>mars 2016, consid. 3.3.2). Il y a également lieu de corriger le temps retenu pour l’audience de débats, laquelle a duré 1h40 et non pas 2h. En définitive, l’ampleur et le temps utilement consacré par cet avocat pour la présente procédure d’appel peuvent être arrêtés à 13h30. Dans ses conditions, sa rémunération est fixée à 3'800 fr., TVA et débours compris, laquelle est mise à la charge de l’Etat du Valais (fisc) (art. 432 al. 2 CPP a contrario). Par ces motifs,</w:t>
      </w:r>
    </w:p>
    <w:p>
      <w:r>
        <w:t>- 18 - Prononce</w:t>
      </w:r>
    </w:p>
    <w:p>
      <w:r>
        <w:t>L’appel est rejeté ; en conséquence, il est statué : 1. Z _________ est acquitté du chef d’accusation d’homicide par négligence (art. 117 CP). 2. Les frais du Ministère public, arrêtés à 8238 fr. 95, ainsi que les frais du Tribunal, arrêtés à 800 fr., sont mis à la charge de l’Etat du Valais. 3. Les frais d’appel, arrêtés à 800 fr., sont mis à la charge de W _________, X _________ et Y _________ à hauteur de 400 fr., le solde étant mis à celle de l’Etat du Valais. 4. L’Etat du Valais versera à Z _________ une indemnité de 8800 fr. à titre d’indemnité pour ses dépens de première instance et de 3800 fr. à titre d’indemnité pour ses dépens d’appel. Sion, le 18 mars 2022</w:t>
      </w:r>
    </w:p>
    <w:p>
      <w:r>
        <w:rPr>
          <w:b/>
        </w:rPr>
        <w:t>E. 10.1</w:t>
      </w:r>
    </w:p>
    <w:p>
      <w:r>
        <w:t>Vu le sort de l’appel et des frais, les plaignants ne peuvent faire valoir d’indemnité pour les dépenses obligatoires occasionnées par la procédure (art. 433 al. 1 CPP a contrario).</w:t>
      </w:r>
    </w:p>
    <w:p>
      <w:r>
        <w:rPr>
          <w:b/>
        </w:rPr>
        <w:t>E. 10.2</w:t>
      </w:r>
    </w:p>
    <w:p>
      <w:r>
        <w:t>Le prévenu appelé obtient gain de cause et a dès lors droit à une indemnité pour les dépenses occasionnées par l’exercice raisonnable de ses droits de procédure (art. 429 al. 1 let. a CPP, applicable également en appel par renvoi de l’art. 436 al. 1 CPP), laquelle doit être fixée entre 1'100 fr. à 8'800 fr. (art. 36 al. 1 let. g LTar), sur la base des critères énoncés à l’article 27 LTar.</w:t>
      </w:r>
    </w:p>
    <w:p>
      <w:r>
        <w:t>- 17 - En l’occurrence, il n’y a pas lieu de rediscuter les dépens de première instance fixés à 8'800 fr. par le juge de district, conformément aux normes et principes applicables. S’agissant des dépens d’appel, au cours des débats, le mandataire de l’appelé a déposé un décompte LTar, duquel il ressort 15 heures d’activités effectuées depuis le 5 décembre 2019. Cela étant, certaines prestations doivent être écartées, à savoir celles libellées : « Courrier à Tribunal de Martigny et St-Maurice » du 5 décembre 2019, lequel est antérieur à la procédure devant le juge de céans ; « Courrier à Me Sophie HAENNI » et « Déclaration de renonciation à la prescription », dont on ne voit pas de lien direct avec la procédure d’appel ; « envoi note intermédiaire », qui concerne des frais de secrétariat déjà compris dans les honoraires d’avocat et qui ne peut être prise en considération (arrêts 6B_1272/2019 du 27 janvier 2020 consid. 4.1 et 6B_928/2014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